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center"/>
        <w:spacing w:after="0" w:line="17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ПОЯСНИТЕЛЬНАЯ ЗАПИСКА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4"/>
        <w:jc w:val="center"/>
        <w:spacing w:after="0" w:line="17" w:lineRule="atLeast"/>
        <w:rPr>
          <w:rFonts w:ascii="PT Astra Serif" w:hAnsi="PT Astra Serif" w:cs="PT Astra Serif"/>
          <w:bCs w:val="0"/>
          <w:i w:val="0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 проекту постановления Правительства Республики Хакасия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br w:type="textWrapping" w:clear="all"/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Об утверждении Положения о региональном государственном контроле (надзоре) в сфере туристской индустрии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 w:val="0"/>
          <w:i w:val="0"/>
          <w:sz w:val="26"/>
          <w:szCs w:val="26"/>
        </w:rPr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»</w:t>
      </w: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bCs w:val="0"/>
          <w:i w:val="0"/>
          <w:sz w:val="26"/>
          <w:szCs w:val="26"/>
        </w:rPr>
      </w:r>
    </w:p>
    <w:p>
      <w:pPr>
        <w:pStyle w:val="864"/>
        <w:jc w:val="center"/>
        <w:spacing w:after="0" w:line="24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left="0" w:right="0" w:firstLine="708"/>
        <w:jc w:val="both"/>
        <w:spacing w:before="0" w:beforeAutospacing="0" w:after="0" w:line="240" w:lineRule="auto"/>
        <w:rPr>
          <w:rFonts w:ascii="PT Astra Serif" w:hAnsi="PT Astra Serif" w:cs="PT Astra Serif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Предмет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ом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правового регулирования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проекта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остановления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Правительства Республики Хакасия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«</w:t>
      </w:r>
      <w:r>
        <w:rPr>
          <w:rFonts w:ascii="PT Astra Serif" w:hAnsi="PT Astra Serif" w:eastAsia="PT Astra Serif" w:cs="PT Astra Serif"/>
          <w:i w:val="0"/>
          <w:iCs w:val="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i w:val="0"/>
          <w:iCs w:val="0"/>
          <w:sz w:val="26"/>
          <w:szCs w:val="26"/>
          <w:highlight w:val="none"/>
        </w:rPr>
        <w:t xml:space="preserve">Об утверждении Положения о региональном государственном контроле (надзоре) в сфере туристской индустрии</w:t>
      </w:r>
      <w:r>
        <w:rPr>
          <w:rFonts w:ascii="PT Astra Serif" w:hAnsi="PT Astra Serif" w:eastAsia="PT Astra Serif" w:cs="PT Astra Serif"/>
          <w:i w:val="0"/>
          <w:iCs w:val="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»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  <w:lang w:val="ru-RU"/>
        </w:rPr>
        <w:t xml:space="preserve">(далее – проект постановления)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являются </w:t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  <w:t xml:space="preserve">соблюдение юридическими лицами, индивидуальными предпринимателями, физическими лицами следующих обязательных требований, установленных федеральным законом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от 24.11.1996 № 132-ФЗ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«Об основах туристской деятельности в Российской Федерации» (далее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–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Федеральный закон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№ 132-ФЗ)</w:t>
      </w:r>
      <w:r/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  <w:t xml:space="preserve"> и принимаемыми в соответствии с </w:t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  <w:t xml:space="preserve">Федеральным законом № 132-ФЗ</w:t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  <w:t xml:space="preserve"> нормативными правовыми актами</w:t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  <w:t xml:space="preserve">:</w:t>
      </w:r>
      <w:r/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1) в отношении деятельности, связанной с использованием средств размещения, в отношении которых распространяется действие статьи 5.1 </w:t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  <w:t xml:space="preserve">Федерального закона № 132-ФЗ</w:t>
      </w:r>
      <w:r>
        <w:rPr>
          <w:rFonts w:ascii="PT Astra Serif" w:hAnsi="PT Astra Serif" w:cs="PT Astra Serif"/>
          <w:sz w:val="26"/>
          <w:szCs w:val="26"/>
        </w:rPr>
        <w:t xml:space="preserve">, за исключением санаторно-курортных организаций, подведомственных федеральным </w:t>
      </w:r>
      <w:r>
        <w:rPr>
          <w:rFonts w:ascii="PT Astra Serif" w:hAnsi="PT Astra Serif" w:cs="PT Astra Serif"/>
          <w:sz w:val="26"/>
          <w:szCs w:val="26"/>
        </w:rPr>
        <w:t xml:space="preserve">органам исполнительной власти, к предмету регионального контроля относится соблюдение следующих обязательных требований: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наличие сведений о средстве размещения в реестре классифицированных средств размещения;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в соответствии с частью первой статьи 5.1 </w:t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  <w:t xml:space="preserve">Федерального закона № 132-ФЗ</w:t>
      </w:r>
      <w:r>
        <w:rPr>
          <w:rFonts w:ascii="PT Astra Serif" w:hAnsi="PT Astra Serif" w:cs="PT Astra Serif"/>
          <w:sz w:val="26"/>
          <w:szCs w:val="26"/>
        </w:rPr>
        <w:t xml:space="preserve">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соответствие средства размещения типу и (или) типу и категории, указанным в реестре классифицированных средств размещения;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с</w:t>
      </w:r>
      <w:r>
        <w:rPr>
          <w:rFonts w:ascii="PT Astra Serif" w:hAnsi="PT Astra Serif" w:cs="PT Astra Serif"/>
          <w:sz w:val="26"/>
          <w:szCs w:val="26"/>
        </w:rPr>
        <w:t xml:space="preserve">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</w:t>
      </w:r>
      <w:r>
        <w:rPr>
          <w:rFonts w:ascii="PT Astra Serif" w:hAnsi="PT Astra Serif" w:cs="PT Astra Serif"/>
          <w:sz w:val="26"/>
          <w:szCs w:val="26"/>
        </w:rPr>
        <w:t xml:space="preserve">мещения;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н</w:t>
      </w:r>
      <w:r>
        <w:rPr>
          <w:rFonts w:ascii="PT Astra Serif" w:hAnsi="PT Astra Serif" w:cs="PT Astra Serif"/>
          <w:sz w:val="26"/>
          <w:szCs w:val="26"/>
        </w:rPr>
        <w:t xml:space="preserve">аличие ссылки в информационно-телекоммуникационной сети «Интернет» (далее – сеть «Интернет»)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</w:t>
      </w:r>
      <w:r>
        <w:rPr>
          <w:rFonts w:ascii="PT Astra Serif" w:hAnsi="PT Astra Serif" w:cs="PT Astra Serif"/>
          <w:sz w:val="26"/>
          <w:szCs w:val="26"/>
        </w:rPr>
        <w:t xml:space="preserve">л</w:t>
      </w:r>
      <w:r>
        <w:rPr>
          <w:rFonts w:ascii="PT Astra Serif" w:hAnsi="PT Astra Serif" w:cs="PT Astra Serif"/>
          <w:sz w:val="26"/>
          <w:szCs w:val="26"/>
        </w:rPr>
        <w:t xml:space="preserve">енных в информации о предоставлении услуг средства размещения, гостиничных услуг на сайте владельца агрегатора информации об услугах или владельца сервиса размещения объявлений в сети «Интернет», аналогичным сведениям о средстве размещения, указанным в рее</w:t>
      </w:r>
      <w:r>
        <w:rPr>
          <w:rFonts w:ascii="PT Astra Serif" w:hAnsi="PT Astra Serif" w:cs="PT Astra Serif"/>
          <w:sz w:val="26"/>
          <w:szCs w:val="26"/>
        </w:rPr>
        <w:t xml:space="preserve">стре классифицированных средств размещения;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2) в отношении деятельности, связанной с использованием горнолыжных трасс или пляжей, к предмету регионального контроля относится соблюдение обязательных требований в части соответствия категории горнолыжной трассы или категории п</w:t>
      </w:r>
      <w:r>
        <w:rPr>
          <w:rFonts w:ascii="PT Astra Serif" w:hAnsi="PT Astra Serif" w:cs="PT Astra Serif"/>
          <w:sz w:val="26"/>
          <w:szCs w:val="26"/>
        </w:rPr>
        <w:t xml:space="preserve">л</w:t>
      </w:r>
      <w:r>
        <w:rPr>
          <w:rFonts w:ascii="PT Astra Serif" w:hAnsi="PT Astra Serif" w:cs="PT Astra Serif"/>
          <w:sz w:val="26"/>
          <w:szCs w:val="26"/>
        </w:rPr>
        <w:t xml:space="preserve">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</w:t>
      </w:r>
      <w:r>
        <w:rPr>
          <w:rFonts w:ascii="PT Astra Serif" w:hAnsi="PT Astra Serif" w:cs="PT Astra Serif"/>
          <w:sz w:val="26"/>
          <w:szCs w:val="26"/>
        </w:rPr>
        <w:t xml:space="preserve">ицированных пляжей;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3) в отношении деятельности экскурсоводов (гидов), гидов-переводчиков к предмету регионального контроля относится соблюдение следующих обязательных требований: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наличие действующей аттестации и нагрудной идентификационной карточки экскурсоводов (гидов) и гидов-переводчиков при оказании ими услуг;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соблюдение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потребителей).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4) в отношении деятельности инструкторов-проводников к предмету регионального контроля относится соблюдение следующих обязательных требований: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наличие действующей аттестации и нагрудной идентификационной карточки у инструктора-проводника при оказании им услуг;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  <w:r/>
      <w:r/>
    </w:p>
    <w:p>
      <w:pPr>
        <w:ind w:left="0" w:right="0" w:firstLine="708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6"/>
          <w:szCs w:val="26"/>
        </w:rPr>
        <w:t xml:space="preserve"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  <w:r/>
      <w:r/>
    </w:p>
    <w:p>
      <w:pPr>
        <w:ind w:left="0" w:right="-1" w:firstLine="567"/>
        <w:jc w:val="both"/>
        <w:spacing w:after="0" w:line="24" w:lineRule="atLeast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cs="PT Astra Serif"/>
          <w:sz w:val="26"/>
          <w:szCs w:val="26"/>
        </w:rPr>
        <w:t xml:space="preserve">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bCs w:val="0"/>
          <w:i w:val="0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/>
    </w:p>
    <w:p>
      <w:pPr>
        <w:ind w:left="0" w:right="-1" w:firstLine="567"/>
        <w:jc w:val="both"/>
        <w:spacing w:after="0" w:line="240" w:lineRule="auto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 Обоснование необходимости принятия правового акта: </w:t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принятие проекта постановления </w:t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необходимо в целях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реализац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ии статей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3.2, 19.5 Федерального закона от 24.11.1996 № 132-ФЗ «Об основах туристской деятельности в Российской Федерации», пункта 3 части 2 статьи 3, пун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кта 2 части 10</w:t>
      </w:r>
      <w:r>
        <w:rPr>
          <w:rFonts w:ascii="PT Astra Serif" w:hAnsi="PT Astra Serif" w:eastAsia="PT Astra Serif" w:cs="PT Astra Serif"/>
          <w:color w:val="000000" w:themeColor="text1"/>
          <w:spacing w:val="27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статьи 23,</w:t>
      </w:r>
      <w:r>
        <w:rPr>
          <w:rFonts w:ascii="PT Astra Serif" w:hAnsi="PT Astra Serif" w:eastAsia="PT Astra Serif" w:cs="PT Astra Serif"/>
          <w:color w:val="000000" w:themeColor="text1"/>
          <w:spacing w:val="18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части</w:t>
      </w:r>
      <w:r>
        <w:rPr>
          <w:rFonts w:ascii="PT Astra Serif" w:hAnsi="PT Astra Serif" w:eastAsia="PT Astra Serif" w:cs="PT Astra Serif"/>
          <w:color w:val="000000" w:themeColor="text1"/>
          <w:spacing w:val="30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pacing w:val="19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статьи</w:t>
      </w:r>
      <w:r>
        <w:rPr>
          <w:rFonts w:ascii="PT Astra Serif" w:hAnsi="PT Astra Serif" w:eastAsia="PT Astra Serif" w:cs="PT Astra Serif"/>
          <w:color w:val="000000" w:themeColor="text1"/>
          <w:spacing w:val="30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30</w:t>
      </w:r>
      <w:r>
        <w:rPr>
          <w:rFonts w:ascii="PT Astra Serif" w:hAnsi="PT Astra Serif" w:eastAsia="PT Astra Serif" w:cs="PT Astra Serif"/>
          <w:color w:val="000000" w:themeColor="text1"/>
          <w:spacing w:val="21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Федерального</w:t>
      </w:r>
      <w:r>
        <w:rPr>
          <w:rFonts w:ascii="PT Astra Serif" w:hAnsi="PT Astra Serif" w:eastAsia="PT Astra Serif" w:cs="PT Astra Serif"/>
          <w:color w:val="000000" w:themeColor="text1"/>
          <w:spacing w:val="47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закона</w:t>
      </w:r>
      <w:r>
        <w:rPr>
          <w:rFonts w:ascii="PT Astra Serif" w:hAnsi="PT Astra Serif" w:eastAsia="PT Astra Serif" w:cs="PT Astra Serif"/>
          <w:color w:val="000000" w:themeColor="text1"/>
          <w:spacing w:val="30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от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 31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.07.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2020</w:t>
      </w:r>
      <w:r>
        <w:rPr>
          <w:rFonts w:ascii="PT Astra Serif" w:hAnsi="PT Astra Serif" w:eastAsia="PT Astra Serif" w:cs="PT Astra Serif"/>
          <w:color w:val="000000" w:themeColor="text1"/>
          <w:spacing w:val="31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№</w:t>
      </w:r>
      <w:r>
        <w:rPr>
          <w:rFonts w:ascii="PT Astra Serif" w:hAnsi="PT Astra Serif" w:eastAsia="PT Astra Serif" w:cs="PT Astra Serif"/>
          <w:color w:val="000000" w:themeColor="text1"/>
          <w:spacing w:val="36"/>
          <w:sz w:val="26"/>
          <w:szCs w:val="26"/>
          <w:highlight w:val="non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248-ФЗ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«О государственном контроле (надзоре) и муниципальном контроле в Российской Федерации»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, пункта 10.4, части 3 статьи 7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Закона Республики Хакасия от 29.11.1999 № 69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«О туристской деятельности на терр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итории Республики Хакасия»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left="0" w:right="-1" w:firstLine="567"/>
        <w:jc w:val="both"/>
        <w:spacing w:after="0" w:line="233" w:lineRule="auto"/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Так, согласно статье 3.2 Федерального закона от 24.11.19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96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№ 132-ФЗ </w:t>
        <w:br/>
        <w:t xml:space="preserve">«Об основах туристской деятельности в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Российской Федерации» (далее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–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Федеральный закон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№ 132-ФЗ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), в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входит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организация </w:t>
        <w:br/>
        <w:t xml:space="preserve">и осуществление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регионального государственного контроля (надзора) </w:t>
        <w:br/>
      </w:r>
      <w:r>
        <w:rPr>
          <w:rFonts w:ascii="PT Astra Serif" w:hAnsi="PT Astra Serif" w:eastAsia="PT Astra Serif" w:cs="PT Astra Serif"/>
          <w:i w:val="0"/>
          <w:iCs w:val="0"/>
          <w:sz w:val="26"/>
          <w:szCs w:val="26"/>
        </w:rPr>
        <w:t xml:space="preserve">за деятельностью экскурсоводов (гидов), гидов-переводчиков и инструкторов-проводников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, а также утверждение положения о данном виде контроля (надзора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)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ind w:left="0" w:right="-1" w:firstLine="567"/>
        <w:jc w:val="both"/>
        <w:spacing w:after="0" w:line="233" w:lineRule="auto"/>
        <w:rPr>
          <w:rFonts w:ascii="PT Astra Serif" w:hAnsi="PT Astra Serif" w:cs="PT Astra Serif"/>
          <w:color w:val="000000" w:themeColor="text1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Согласно статье</w:t>
      </w:r>
      <w:r/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19.5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Федерального закона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№ 132-ФЗ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р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егиональный государственный контроль (надзор) в сфере туристской индустрии (далее – региональный государственный контроль (надзор) осуществляется органом государственной власти субъекта Российской Федерации, уполномоченным высшим исполнительным органом суб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ъекта Российской Федерации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</w:p>
    <w:p>
      <w:pPr>
        <w:ind w:left="0" w:right="-1" w:firstLine="567"/>
        <w:jc w:val="both"/>
        <w:spacing w:before="0" w:after="0" w:line="240" w:lineRule="auto"/>
        <w:rPr>
          <w:rFonts w:ascii="PT Astra Serif" w:hAnsi="PT Astra Serif" w:cs="PT Astra Serif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В соответствии с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  <w:lang w:val="ru-RU"/>
        </w:rPr>
        <w:t xml:space="preserve">пунктом 10.4, части 3 статьи 7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Закона Республики Хакасия </w:t>
        <w:br/>
        <w:t xml:space="preserve">от 29.11.1999 № 69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«О туристской деятельности на территории Республики Хакасия»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к полномочиям уполномоченного испол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нительного органа государственной власти Республики Хакасия в сфере туризма относится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организация и осуществление регионального государственного контроля (надзора) </w:t>
      </w:r>
      <w:r>
        <w:rPr>
          <w:rFonts w:ascii="PT Astra Serif" w:hAnsi="PT Astra Serif" w:eastAsia="PT Astra Serif" w:cs="PT Astra Serif"/>
          <w:i w:val="0"/>
          <w:iCs w:val="0"/>
          <w:sz w:val="26"/>
          <w:szCs w:val="26"/>
        </w:rPr>
        <w:t xml:space="preserve">за деятельностью экскурсоводов (гидов), гидов-переводчиков и инструкторов-проводников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</w:r>
      <w:r>
        <w:rPr>
          <w:rFonts w:ascii="PT Astra Serif" w:hAnsi="PT Astra Serif" w:cs="PT Astra Serif"/>
          <w:color w:val="000000"/>
          <w:sz w:val="26"/>
          <w:szCs w:val="26"/>
          <w:highlight w:val="none"/>
        </w:rPr>
      </w:r>
    </w:p>
    <w:p>
      <w:pPr>
        <w:ind w:left="0" w:right="-1" w:firstLine="567"/>
        <w:jc w:val="both"/>
        <w:spacing w:before="0" w:after="0" w:line="240" w:lineRule="auto"/>
        <w:rPr>
          <w:rFonts w:ascii="PT Astra Serif" w:hAnsi="PT Astra Serif" w:cs="PT Astra Serif"/>
          <w:spacing w:val="-6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3. Ха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рактеристика основных положений проекта постановления: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роект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постановления</w:t>
      </w:r>
      <w:r>
        <w:rPr>
          <w:rFonts w:ascii="PT Astra Serif" w:hAnsi="PT Astra Serif" w:eastAsia="PT Astra Serif" w:cs="PT Astra Serif"/>
          <w:spacing w:val="-6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pacing w:val="-6"/>
          <w:sz w:val="26"/>
          <w:szCs w:val="26"/>
          <w:highlight w:val="none"/>
        </w:rPr>
        <w:t xml:space="preserve">у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станавливает порядок организации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и осуществления регионального государственного контроля (надзора) в сфере туристской индустрии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на территории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Республики Хакасия</w:t>
      </w:r>
      <w:r>
        <w:rPr>
          <w:rFonts w:ascii="PT Astra Serif" w:hAnsi="PT Astra Serif" w:eastAsia="PT Astra Serif" w:cs="PT Astra Serif"/>
          <w:spacing w:val="-6"/>
          <w:sz w:val="26"/>
          <w:szCs w:val="26"/>
          <w:highlight w:val="none"/>
        </w:rPr>
        <w:t xml:space="preserve">.</w:t>
      </w:r>
      <w:r>
        <w:rPr>
          <w:rFonts w:ascii="PT Astra Serif" w:hAnsi="PT Astra Serif" w:eastAsia="PT Astra Serif" w:cs="PT Astra Serif"/>
          <w:spacing w:val="-6"/>
          <w:sz w:val="26"/>
          <w:szCs w:val="26"/>
          <w:highlight w:val="none"/>
        </w:rPr>
      </w:r>
      <w:r>
        <w:rPr>
          <w:rFonts w:ascii="PT Astra Serif" w:hAnsi="PT Astra Serif" w:cs="PT Astra Serif"/>
          <w:spacing w:val="-6"/>
          <w:sz w:val="26"/>
          <w:szCs w:val="26"/>
          <w:highlight w:val="none"/>
        </w:rPr>
      </w:r>
    </w:p>
    <w:p>
      <w:pPr>
        <w:ind w:left="0" w:right="-1" w:firstLine="567"/>
        <w:jc w:val="both"/>
        <w:spacing w:before="0" w:after="0" w:line="240" w:lineRule="auto"/>
        <w:rPr>
          <w:rFonts w:ascii="PT Astra Serif" w:hAnsi="PT Astra Serif" w:cs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pacing w:val="-6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4. Оценка эффективности и достаточности предлагаемых решений: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принятие постановления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позволя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е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т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организовать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и осуществлять региональный государственный контроль (надзор) в сфере туристской индустрии.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left="0" w:right="-1" w:firstLine="567"/>
        <w:jc w:val="both"/>
        <w:spacing w:before="0" w:after="0" w:line="240" w:lineRule="auto"/>
        <w:rPr>
          <w:rFonts w:ascii="PT Astra Serif" w:hAnsi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  <w:t xml:space="preserve">5.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Прогноз социально-экономических и иных последствий реализации проекта постановления: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принятие данного постановления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 не повлечет социально-экономических и иных последствий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left="0" w:right="-1" w:firstLine="567"/>
        <w:jc w:val="both"/>
        <w:spacing w:before="0" w:after="0" w:line="240" w:lineRule="auto"/>
        <w:rPr>
          <w:rFonts w:ascii="PT Astra Serif" w:hAnsi="PT Astra Serif" w:cs="PT Astra Serif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Cs/>
          <w:sz w:val="26"/>
          <w:szCs w:val="26"/>
        </w:rPr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6. </w:t>
      </w:r>
      <w:r>
        <w:rPr>
          <w:rFonts w:ascii="PT Astra Serif" w:hAnsi="PT Astra Serif" w:eastAsia="PT Astra Serif" w:cs="PT Astra Serif"/>
          <w:bCs/>
          <w:sz w:val="26"/>
          <w:szCs w:val="26"/>
          <w:highlight w:val="none"/>
        </w:rPr>
        <w:t xml:space="preserve">Информация о соблюдении порядка принятия проекта постановления:</w:t>
      </w:r>
      <w:r>
        <w:rPr>
          <w:rFonts w:ascii="PT Astra Serif" w:hAnsi="PT Astra Serif" w:eastAsia="PT Astra Serif" w:cs="PT Astra Serif"/>
          <w:bCs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данный проект постановления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про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шел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независимую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антикоррупционную экспертизу, заключений от независимых экспертов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не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поступало,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специальных требований к принятию подобных проектов постановлений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не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предусмотрено.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left="0" w:right="-1" w:firstLine="567"/>
        <w:jc w:val="both"/>
        <w:spacing w:before="0" w:after="0" w:line="240" w:lineRule="auto"/>
        <w:rPr>
          <w:rFonts w:ascii="PT Astra Serif" w:hAnsi="PT Astra Serif" w:cs="PT Astra Serif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воздействия: 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проект постановления подлежит оценки регулирующего воздействия в соответствии с постановлением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  <w:t xml:space="preserve">ти»</w:t>
      </w:r>
      <w:r>
        <w:rPr>
          <w:rFonts w:ascii="PT Astra Serif" w:hAnsi="PT Astra Serif" w:eastAsia="PT Astra Serif" w:cs="PT Astra Serif"/>
          <w:position w:val="2"/>
          <w:sz w:val="26"/>
          <w:szCs w:val="26"/>
        </w:rPr>
      </w:r>
      <w:r>
        <w:rPr>
          <w:rFonts w:ascii="PT Astra Serif" w:hAnsi="PT Astra Serif" w:eastAsia="PT Astra Serif" w:cs="PT Astra Serif"/>
          <w:color w:val="000000"/>
          <w:sz w:val="26"/>
          <w:szCs w:val="26"/>
          <w:highlight w:val="none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4"/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4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left="0" w:right="0" w:firstLine="0"/>
        <w:spacing w:before="0" w:after="0" w:line="240" w:lineRule="auto"/>
        <w:rPr>
          <w:rFonts w:ascii="PT Astra Serif" w:hAnsi="PT Astra Serif" w:cs="PT Astra Serif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Министр экономического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64"/>
        <w:spacing w:after="0" w:line="240" w:lineRule="auto"/>
        <w:tabs>
          <w:tab w:val="right" w:pos="9354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развития Республики Хакасия </w:t>
        <w:tab/>
        <w:t xml:space="preserve">Р.В. Ковтун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822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PT Astra Serif" w:hAnsi="PT Astra Serif" w:eastAsia="PT Astra Serif" w:cs="PT Astra Serif"/>
        <w:sz w:val="24"/>
        <w:szCs w:val="24"/>
      </w:rPr>
      <w:fldChar w:fldCharType="separate"/>
    </w:r>
    <w:r>
      <w:rPr>
        <w:rFonts w:ascii="PT Astra Serif" w:hAnsi="PT Astra Serif" w:eastAsia="PT Astra Serif" w:cs="PT Astra Serif"/>
        <w:sz w:val="24"/>
        <w:szCs w:val="24"/>
      </w:rPr>
      <w:t xml:space="preserve">2</w:t>
    </w:r>
    <w:r>
      <w:rPr>
        <w:rFonts w:ascii="PT Astra Serif" w:hAnsi="PT Astra Serif" w:eastAsia="PT Astra Serif" w:cs="PT Astra Serif"/>
        <w:sz w:val="24"/>
        <w:szCs w:val="24"/>
      </w:rPr>
      <w:fldChar w:fldCharType="end"/>
    </w:r>
    <w:r>
      <w:rPr>
        <w:rFonts w:ascii="PT Astra Serif" w:hAnsi="PT Astra Serif" w:eastAsia="PT Astra Serif" w:cs="PT Astra Serif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65">
    <w:name w:val="Заголовок 2"/>
    <w:basedOn w:val="864"/>
    <w:next w:val="865"/>
    <w:link w:val="87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styleId="866">
    <w:name w:val="Основной шрифт абзаца"/>
    <w:next w:val="866"/>
    <w:link w:val="864"/>
    <w:uiPriority w:val="1"/>
    <w:unhideWhenUsed/>
  </w:style>
  <w:style w:type="table" w:styleId="867">
    <w:name w:val="Обычная таблица"/>
    <w:next w:val="867"/>
    <w:link w:val="864"/>
    <w:uiPriority w:val="99"/>
    <w:semiHidden/>
    <w:unhideWhenUsed/>
    <w:qFormat/>
    <w:tblPr/>
  </w:style>
  <w:style w:type="numbering" w:styleId="868">
    <w:name w:val="Нет списка"/>
    <w:next w:val="868"/>
    <w:link w:val="864"/>
    <w:uiPriority w:val="99"/>
    <w:semiHidden/>
    <w:unhideWhenUsed/>
  </w:style>
  <w:style w:type="paragraph" w:styleId="869">
    <w:name w:val="Основной текст"/>
    <w:basedOn w:val="864"/>
    <w:next w:val="869"/>
    <w:link w:val="870"/>
    <w:pPr>
      <w:spacing w:before="28" w:after="0" w:line="254" w:lineRule="exact"/>
    </w:pPr>
    <w:rPr>
      <w:rFonts w:ascii="Times New Roman" w:hAnsi="Times New Roman"/>
      <w:sz w:val="24"/>
      <w:szCs w:val="20"/>
      <w:lang w:val="en-US" w:eastAsia="en-US"/>
    </w:rPr>
  </w:style>
  <w:style w:type="character" w:styleId="870">
    <w:name w:val="Основной текст Знак"/>
    <w:next w:val="870"/>
    <w:link w:val="869"/>
    <w:rPr>
      <w:rFonts w:ascii="Times New Roman" w:hAnsi="Times New Roman" w:eastAsia="Times New Roman" w:cs="Times New Roman"/>
      <w:sz w:val="24"/>
    </w:rPr>
  </w:style>
  <w:style w:type="paragraph" w:styleId="871">
    <w:name w:val="ConsPlusTitle"/>
    <w:next w:val="871"/>
    <w:link w:val="864"/>
    <w:uiPriority w:val="99"/>
    <w:pPr>
      <w:widowControl w:val="off"/>
    </w:pPr>
    <w:rPr>
      <w:rFonts w:ascii="Times New Roman" w:hAnsi="Times New Roman"/>
      <w:b/>
      <w:bCs/>
      <w:sz w:val="24"/>
      <w:szCs w:val="24"/>
      <w:lang w:val="ru-RU" w:eastAsia="ru-RU" w:bidi="ar-SA"/>
    </w:rPr>
  </w:style>
  <w:style w:type="paragraph" w:styleId="872">
    <w:name w:val="Текст примечания"/>
    <w:basedOn w:val="864"/>
    <w:next w:val="872"/>
    <w:link w:val="873"/>
    <w:pPr>
      <w:ind w:firstLine="539"/>
      <w:jc w:val="both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73">
    <w:name w:val="Текст примечания Знак"/>
    <w:next w:val="873"/>
    <w:link w:val="872"/>
    <w:rPr>
      <w:rFonts w:ascii="Times New Roman" w:hAnsi="Times New Roman" w:eastAsia="Times New Roman" w:cs="Times New Roman"/>
      <w:sz w:val="20"/>
      <w:szCs w:val="20"/>
    </w:rPr>
  </w:style>
  <w:style w:type="paragraph" w:styleId="874">
    <w:name w:val="Верхний колонтитул"/>
    <w:basedOn w:val="864"/>
    <w:next w:val="874"/>
    <w:link w:val="875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5">
    <w:name w:val="Верхний колонтитул Знак"/>
    <w:next w:val="875"/>
    <w:link w:val="874"/>
    <w:uiPriority w:val="99"/>
    <w:rPr>
      <w:sz w:val="22"/>
      <w:szCs w:val="22"/>
    </w:rPr>
  </w:style>
  <w:style w:type="paragraph" w:styleId="876">
    <w:name w:val="Нижний колонтитул"/>
    <w:basedOn w:val="864"/>
    <w:next w:val="876"/>
    <w:link w:val="877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7">
    <w:name w:val="Нижний колонтитул Знак"/>
    <w:next w:val="877"/>
    <w:link w:val="876"/>
    <w:uiPriority w:val="99"/>
    <w:semiHidden/>
    <w:rPr>
      <w:sz w:val="22"/>
      <w:szCs w:val="22"/>
    </w:rPr>
  </w:style>
  <w:style w:type="paragraph" w:styleId="878">
    <w:name w:val="ConsPlusNormal"/>
    <w:next w:val="878"/>
    <w:link w:val="864"/>
    <w:rPr>
      <w:rFonts w:ascii="Arial" w:hAnsi="Arial" w:cs="Arial"/>
      <w:lang w:val="ru-RU" w:eastAsia="ru-RU" w:bidi="ar-SA"/>
    </w:rPr>
  </w:style>
  <w:style w:type="character" w:styleId="879">
    <w:name w:val="Заголовок 2 Знак"/>
    <w:next w:val="879"/>
    <w:link w:val="865"/>
    <w:uiPriority w:val="9"/>
    <w:rPr>
      <w:rFonts w:ascii="Times New Roman" w:hAnsi="Times New Roman"/>
      <w:b/>
      <w:bCs/>
      <w:sz w:val="36"/>
      <w:szCs w:val="36"/>
    </w:rPr>
  </w:style>
  <w:style w:type="paragraph" w:styleId="880">
    <w:name w:val="С отступом по ширине"/>
    <w:basedOn w:val="864"/>
    <w:next w:val="880"/>
    <w:link w:val="881"/>
    <w:qFormat/>
    <w:pPr>
      <w:ind w:firstLine="709"/>
      <w:jc w:val="both"/>
      <w:spacing w:after="0" w:line="240" w:lineRule="auto"/>
    </w:pPr>
    <w:rPr>
      <w:rFonts w:ascii="Times New Roman" w:hAnsi="Times New Roman"/>
      <w:sz w:val="26"/>
      <w:lang w:val="en-US" w:eastAsia="en-US"/>
    </w:rPr>
  </w:style>
  <w:style w:type="character" w:styleId="881">
    <w:name w:val="С отступом по ширине Знак"/>
    <w:next w:val="881"/>
    <w:link w:val="880"/>
    <w:rPr>
      <w:rFonts w:ascii="Times New Roman" w:hAnsi="Times New Roman"/>
      <w:sz w:val="26"/>
      <w:szCs w:val="22"/>
    </w:rPr>
  </w:style>
  <w:style w:type="character" w:styleId="882">
    <w:name w:val="apple-style-span"/>
    <w:basedOn w:val="866"/>
    <w:next w:val="882"/>
    <w:link w:val="864"/>
  </w:style>
  <w:style w:type="paragraph" w:styleId="883">
    <w:name w:val="Без интервала"/>
    <w:next w:val="883"/>
    <w:link w:val="864"/>
    <w:uiPriority w:val="1"/>
    <w:qFormat/>
    <w:rPr>
      <w:rFonts w:ascii="Times New Roman" w:hAnsi="Times New Roman"/>
      <w:sz w:val="24"/>
      <w:szCs w:val="24"/>
      <w:lang w:val="ru-RU" w:eastAsia="ru-RU" w:bidi="ar-SA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  <w:style w:type="character" w:styleId="887" w:customStyle="1">
    <w:name w:val="Emphasis"/>
    <w:uiPriority w:val="20"/>
    <w:qFormat/>
    <w:rPr>
      <w:i/>
      <w:iCs/>
    </w:rPr>
  </w:style>
  <w:style w:type="paragraph" w:styleId="888" w:customStyle="1">
    <w:name w:val="Body Text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89" w:customStyle="1">
    <w:name w:val="Текст сноски"/>
    <w:basedOn w:val="855"/>
    <w:next w:val="867"/>
    <w:link w:val="868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Министерство финансов и экономики РХ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</dc:creator>
  <cp:lastModifiedBy>user</cp:lastModifiedBy>
  <cp:revision>15</cp:revision>
  <dcterms:created xsi:type="dcterms:W3CDTF">2022-09-29T08:37:00Z</dcterms:created>
  <dcterms:modified xsi:type="dcterms:W3CDTF">2025-02-28T07:55:36Z</dcterms:modified>
  <cp:version>917504</cp:version>
</cp:coreProperties>
</file>